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ind w:left="5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CONTRATO Nº06/2025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179"/>
        </w:tabs>
        <w:ind w:left="5958" w:right="561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CONTRATO ADMINISTRATIVO Nº 06/2025, QUE FAZEM ENTRE SI COMPANHIA MUNICIPAL DE DESENVOLVIMENTO  –  COMDEP</w:t>
        <w:tab/>
        <w:t xml:space="preserve">E A EMPRESA WTE ENGENHARIA LTDA, PARA OS FINS QUE SE ESPECIFICA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6"/>
        </w:tabs>
        <w:spacing w:before="1" w:lineRule="auto"/>
        <w:ind w:left="708.6614173228347" w:right="6.614173228346658" w:firstLine="0"/>
        <w:jc w:val="both"/>
        <w:rPr/>
      </w:pPr>
      <w:r w:rsidDel="00000000" w:rsidR="00000000" w:rsidRPr="00000000">
        <w:rPr>
          <w:rtl w:val="0"/>
        </w:rPr>
        <w:t xml:space="preserve">A Companhia Municipal de Desenvolvimento – COMDEP,</w:t>
        <w:tab/>
        <w:t xml:space="preserve">Município de Paracambi, com sede no(a) Rua Ely do Amparo, s/n, lote 14, Paracambi/RJ, neste ato representado(a)</w:t>
        <w:tab/>
        <w:t xml:space="preserve">pelo(a)</w:t>
        <w:tab/>
        <w:t xml:space="preserve">Diretor</w:t>
        <w:tab/>
        <w:t xml:space="preserve">Presidente Victor Maia Dias Soares,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doravante denominado CONTRATANTE, e WTE ENGENHARIA LTDA, inscrito(a) no CNPJ/MF sob o nº 25066377/0001-74, sediado(a) na Rua Avenida Governador Roberto Silveira, N• 470, Sala 912, Nova iguaçu/RJ CEP:26210210, doravante designado CONTRATADO, neste ato representado(a) por Wellington Melo Alves,  em observância às disposições da Lei nº 13.303/16 e subsidiariamente na Lei nº 14.133/21, e demais legislação aplicável, resolvem celebrar o presente Termo de Contrato, decorrente da Licitação por Pregão Eletrônico n° 02/2025, mediante as cláusulas e condições a seguir enunciadas.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8"/>
          <w:tab w:val="left" w:leader="none" w:pos="10907"/>
        </w:tabs>
        <w:ind w:left="1038" w:hanging="357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PRIMEIRA – OBJETO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0"/>
          <w:tab w:val="left" w:leader="none" w:pos="1277"/>
        </w:tabs>
        <w:spacing w:before="136" w:line="360" w:lineRule="auto"/>
        <w:ind w:left="1277" w:right="6.614173228346658" w:hanging="56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O objeto do presente instrumento é a </w:t>
      </w:r>
      <w:r w:rsidDel="00000000" w:rsidR="00000000" w:rsidRPr="00000000">
        <w:rPr>
          <w:b w:val="1"/>
          <w:rtl w:val="0"/>
        </w:rPr>
        <w:t xml:space="preserve">locação de retroescavadeiras e caminhão cesto</w:t>
      </w:r>
      <w:r w:rsidDel="00000000" w:rsidR="00000000" w:rsidRPr="00000000">
        <w:rPr>
          <w:b w:val="1"/>
          <w:color w:val="000000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conforme condições e especificações constantes no instrumento convocatório, termo de referência e demais anexos.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before="160" w:lineRule="auto"/>
        <w:ind w:left="1276" w:right="6.614173228346658" w:hanging="56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Vinculam esta contratação, independentemente de transcrição: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right="6.61417322834665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1"/>
        </w:tabs>
        <w:ind w:left="1561" w:right="6.614173228346658" w:hanging="852.3385826771653"/>
        <w:jc w:val="both"/>
        <w:rPr/>
      </w:pPr>
      <w:r w:rsidDel="00000000" w:rsidR="00000000" w:rsidRPr="00000000">
        <w:rPr>
          <w:color w:val="000000"/>
          <w:rtl w:val="0"/>
        </w:rPr>
        <w:t xml:space="preserve">O Termo de Referência;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Rule="auto"/>
        <w:ind w:right="6.61417322834665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1"/>
        </w:tabs>
        <w:ind w:left="1561" w:right="6.614173228346658" w:hanging="852.3385826771653"/>
        <w:jc w:val="both"/>
        <w:rPr/>
      </w:pPr>
      <w:r w:rsidDel="00000000" w:rsidR="00000000" w:rsidRPr="00000000">
        <w:rPr>
          <w:color w:val="000000"/>
          <w:rtl w:val="0"/>
        </w:rPr>
        <w:t xml:space="preserve">O Aviso de Contratação;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right="6.61417322834665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1"/>
        </w:tabs>
        <w:ind w:left="1561" w:right="6.614173228346658" w:hanging="852.3385826771653"/>
        <w:jc w:val="both"/>
        <w:rPr/>
      </w:pPr>
      <w:r w:rsidDel="00000000" w:rsidR="00000000" w:rsidRPr="00000000">
        <w:rPr>
          <w:color w:val="000000"/>
          <w:rtl w:val="0"/>
        </w:rPr>
        <w:t xml:space="preserve">A Proposta do contratado;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right="6.61417322834665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1"/>
        </w:tabs>
        <w:ind w:left="1561" w:right="6.614173228346658" w:hanging="852.3385826771653"/>
        <w:jc w:val="both"/>
        <w:rPr/>
      </w:pPr>
      <w:r w:rsidDel="00000000" w:rsidR="00000000" w:rsidRPr="00000000">
        <w:rPr>
          <w:color w:val="000000"/>
          <w:rtl w:val="0"/>
        </w:rPr>
        <w:t xml:space="preserve">Eventuais anexos dos documentos supracitados.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8"/>
          <w:tab w:val="left" w:leader="none" w:pos="10907"/>
        </w:tabs>
        <w:spacing w:before="1" w:lineRule="auto"/>
        <w:ind w:left="1038" w:hanging="357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SEGUNDA – </w:t>
      </w:r>
      <w:r w:rsidDel="00000000" w:rsidR="00000000" w:rsidRPr="00000000">
        <w:rPr>
          <w:b w:val="1"/>
          <w:shd w:fill="d4e1ba" w:val="clear"/>
          <w:rtl w:val="0"/>
        </w:rPr>
        <w:t xml:space="preserve">DO REGIME DE EXECUÇÃO</w:t>
      </w:r>
      <w:r w:rsidDel="00000000" w:rsidR="00000000" w:rsidRPr="00000000">
        <w:rPr>
          <w:b w:val="1"/>
          <w:color w:val="00000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Execução indireta sob demanda, mediante emissão de ordens de serviço pela COMDEP, com início das atividades conforme prazos definidos.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Para a prestação de serviços na locação dos equipamentos será formalizado Contrato Administrativo, estabelecendo em suas cláusulas todas as condições, obrigações e responsabilidades entre as partes, em conformidade com o Edital, do Termo de Referência, e da Proposta de Preços da empresa considerada vencedora.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Os equipamentos alocados deverão receber a adequada e devida manutenção preventiva, conforme recomendações do fabricante e/ou corretiva sendo realizada na periodicidade e nas frequências recomendadas.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A empresa contratada deverá prestar assistência 24 (vinte e quatro) horas, com plantão para atendimento e socorro do equipamento locado.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Substituir os equipamentos locados no prazo máximo de 4 (quatro) horas, a partir da comunicação do Contratante, em razão de acidentes, revisão, reparos mecânicos, má conservação e condição de segurança.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A contratada deverá arcar com as despesas relativas à manutenção mecânica, elétrica, hidráulica, troca de óleo/lubrificantes, pneus, filtros e demais suprimentos, necessários ao cumprimento do objeto sob o contrato.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A Manutenção corretiva deverá ocorrer sempre que necessária para substituição de um componente do caminhão poliguindaste por desgaste ou por quebra dele.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before="200" w:lineRule="auto"/>
        <w:ind w:left="1277" w:hanging="576.0000000000001"/>
        <w:jc w:val="both"/>
        <w:rPr/>
      </w:pPr>
      <w:r w:rsidDel="00000000" w:rsidR="00000000" w:rsidRPr="00000000">
        <w:rPr>
          <w:rtl w:val="0"/>
        </w:rPr>
        <w:t xml:space="preserve">A fiscalização será realizada por equipe técnica da COMDEP, com acompanhamento diário das ordens de serviço, registro fotográfico, relatórios mensais de execução e conferência de produtividade. A contratada deverá apresentar relatório mensal de atendimento.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9"/>
          <w:tab w:val="left" w:leader="none" w:pos="1277"/>
        </w:tabs>
        <w:spacing w:line="360" w:lineRule="auto"/>
        <w:ind w:left="0" w:right="56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8"/>
          <w:tab w:val="left" w:leader="none" w:pos="10907"/>
        </w:tabs>
        <w:spacing w:before="160" w:lineRule="auto"/>
        <w:ind w:left="1038" w:hanging="357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TERCEIRA –</w:t>
      </w:r>
      <w:r w:rsidDel="00000000" w:rsidR="00000000" w:rsidRPr="00000000">
        <w:rPr>
          <w:b w:val="1"/>
          <w:shd w:fill="d4e1ba" w:val="clear"/>
          <w:rtl w:val="0"/>
        </w:rPr>
        <w:t xml:space="preserve"> DO PREÇO E CONDIÇÃO DE PAGAMENTO</w:t>
      </w:r>
      <w:r w:rsidDel="00000000" w:rsidR="00000000" w:rsidRPr="00000000">
        <w:rPr>
          <w:b w:val="1"/>
          <w:color w:val="00000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tabs>
          <w:tab w:val="left" w:leader="none" w:pos="1276"/>
          <w:tab w:val="left" w:leader="none" w:pos="5441"/>
        </w:tabs>
        <w:ind w:left="1276" w:hanging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O valor total da contratação é de </w:t>
      </w:r>
      <w:r w:rsidDel="00000000" w:rsidR="00000000" w:rsidRPr="00000000">
        <w:rPr>
          <w:b w:val="1"/>
          <w:rtl w:val="0"/>
        </w:rPr>
        <w:t xml:space="preserve">R$ R$2.925.079,86</w:t>
      </w:r>
      <w:r w:rsidDel="00000000" w:rsidR="00000000" w:rsidRPr="00000000">
        <w:rPr>
          <w:rtl w:val="0"/>
        </w:rPr>
        <w:t xml:space="preserve"> (dois milhões, novecentos e vinte e cinco mil , setenta e nove reais e oitenta e seis centavos).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276"/>
          <w:tab w:val="left" w:leader="none" w:pos="5441"/>
        </w:tabs>
        <w:ind w:left="127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76.9999999999999" w:tblpY="7.001953125"/>
        <w:tblW w:w="9720.0" w:type="dxa"/>
        <w:jc w:val="left"/>
        <w:tblInd w:w="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5820"/>
        <w:gridCol w:w="3105"/>
        <w:tblGridChange w:id="0">
          <w:tblGrid>
            <w:gridCol w:w="795"/>
            <w:gridCol w:w="5820"/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(24 MESES)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LOTE 1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276"/>
                <w:tab w:val="left" w:leader="none" w:pos="5441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(QUATRO)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Retroescavadeira com peso operacional em torno de 7t, motor diesel em torno de 75cv, capacidade aproximada da caçamba de 0,76m³, profundidade de escavação máxima de 4,00m, inclusive operador 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R$ 2.175.349,44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LOTE 2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1276"/>
                <w:tab w:val="left" w:leader="none" w:pos="5441"/>
              </w:tabs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(UMA)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Retroescavadeira com peso operacional em torno de 7t, motor diesel em torno de 75cv, capacidade aproximada da caçamba de 0,76m³, profundidade de escavação máxima de 4,00m, inclusive operador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Uso emergencial.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R$ 377.999,8464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LOTE 3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276"/>
                <w:tab w:val="left" w:leader="none" w:pos="5441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Caminhão Carroceri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fixa, capacidade de 7,5t, cesto duplo, com motorista operador, material de operacao e material de manutenção, com as seguintes especificacoes minimas: motor diesel de 162CV,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guindaste hidráulico, acoplado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15,5 tf/m de momento de carga útil, lança com cesto duplo com alcance de 16m de altura, sinalizador visual rotativo amarelo ou âmbar. Custo horário produtivo.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R$ 371.730,58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1276"/>
                <w:tab w:val="left" w:leader="none" w:pos="544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CONTRATAÇÃO: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1276"/>
                <w:tab w:val="left" w:leader="none" w:pos="5441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R$ 2.925.079,86</w:t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numPr>
          <w:ilvl w:val="1"/>
          <w:numId w:val="1"/>
        </w:numPr>
        <w:tabs>
          <w:tab w:val="left" w:leader="none" w:pos="2055"/>
        </w:tabs>
        <w:ind w:left="1277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 Os pagamentos ocorrerão em 30 (trinta) dias após o adimplemento das obrigações, devendo as faturas serem apresentadas no Departamento da Despesa da COMDEP com a nota de empenho correspondente.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2055"/>
        </w:tabs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277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Qualquer pagamento somente será efetuado à empresa contratada por serviços executados e após as conferências pela fiscalização da COMDEP, e ainda, se a CONTRATADA não tiver nenhuma pendência de débito junto à contratante, inclusive de multas, sendo que sobre eventual atraso no pagamento incidirá multa na ordem de 1% (um por cento) a título de multa, além de 0,033% (trinta e três milésimos por cento) por dia de atraso, a título de compensação financeira, a serem calculados sobre a parcela devida.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269"/>
          <w:tab w:val="left" w:leader="none" w:pos="1277"/>
        </w:tabs>
        <w:spacing w:before="1" w:line="360" w:lineRule="auto"/>
        <w:ind w:left="0" w:right="568.346456692913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tabs>
          <w:tab w:val="left" w:leader="none" w:pos="1269"/>
          <w:tab w:val="left" w:leader="none" w:pos="1277"/>
        </w:tabs>
        <w:spacing w:before="1" w:line="360" w:lineRule="auto"/>
        <w:ind w:left="1277" w:right="568.3464566929138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276"/>
          <w:tab w:val="left" w:leader="none" w:pos="5441"/>
        </w:tabs>
        <w:ind w:left="12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8"/>
          <w:tab w:val="left" w:leader="none" w:pos="10622"/>
        </w:tabs>
        <w:ind w:left="1038" w:hanging="357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QUARTA – </w:t>
      </w:r>
      <w:r w:rsidDel="00000000" w:rsidR="00000000" w:rsidRPr="00000000">
        <w:rPr>
          <w:b w:val="1"/>
          <w:shd w:fill="d4e1ba" w:val="clear"/>
          <w:rtl w:val="0"/>
        </w:rPr>
        <w:t xml:space="preserve">DO PRAZO DE EXECUÇÃO</w:t>
      </w:r>
      <w:r w:rsidDel="00000000" w:rsidR="00000000" w:rsidRPr="00000000">
        <w:rPr>
          <w:b w:val="1"/>
          <w:color w:val="00000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tabs>
          <w:tab w:val="left" w:leader="none" w:pos="1270"/>
          <w:tab w:val="left" w:leader="none" w:pos="1277"/>
        </w:tabs>
        <w:spacing w:line="276" w:lineRule="auto"/>
        <w:ind w:left="1277" w:right="561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O prazo de vigência da contratação é de 24  meses, contados da assinatura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269"/>
          <w:tab w:val="left" w:leader="none" w:pos="1277"/>
        </w:tabs>
        <w:spacing w:line="276" w:lineRule="auto"/>
        <w:ind w:left="1277" w:right="560" w:firstLine="0"/>
        <w:jc w:val="both"/>
        <w:rPr>
          <w:rFonts w:ascii="Roboto" w:cs="Roboto" w:eastAsia="Roboto" w:hAnsi="Roboto"/>
          <w:color w:val="44474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tabs>
          <w:tab w:val="left" w:leader="none" w:pos="10622"/>
        </w:tabs>
        <w:spacing w:before="1" w:lineRule="auto"/>
        <w:ind w:left="1039" w:hanging="35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CLÁUSULA QUINTA – DOS RECURSOS ORÇAMENTÁRIOS </w:t>
        <w:tab/>
      </w:r>
      <w:r w:rsidDel="00000000" w:rsidR="00000000" w:rsidRPr="00000000">
        <w:rPr>
          <w:rFonts w:ascii="Arial" w:cs="Arial" w:eastAsia="Arial" w:hAnsi="Arial"/>
          <w:b w:val="1"/>
          <w:color w:val="b6d7a8"/>
          <w:sz w:val="20"/>
          <w:szCs w:val="20"/>
          <w:shd w:fill="d4e1ba" w:val="clear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34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tabs>
          <w:tab w:val="left" w:leader="none" w:pos="1277"/>
          <w:tab w:val="left" w:leader="none" w:pos="1308"/>
        </w:tabs>
        <w:spacing w:line="360" w:lineRule="auto"/>
        <w:ind w:left="1277" w:right="710.0787401574809" w:hanging="568"/>
        <w:jc w:val="both"/>
        <w:rPr/>
      </w:pPr>
      <w:r w:rsidDel="00000000" w:rsidR="00000000" w:rsidRPr="00000000">
        <w:rPr>
          <w:rtl w:val="0"/>
        </w:rPr>
        <w:t xml:space="preserve">As despesas decorrentes da presente contratação correrão à conta de recursos específicos consignados no Orçamento DA COMDEP, análise e autorização do Diretor Financeiro.</w:t>
      </w:r>
    </w:p>
    <w:p w:rsidR="00000000" w:rsidDel="00000000" w:rsidP="00000000" w:rsidRDefault="00000000" w:rsidRPr="00000000" w14:paraId="0000005F">
      <w:pPr>
        <w:tabs>
          <w:tab w:val="left" w:leader="none" w:pos="1269"/>
          <w:tab w:val="left" w:leader="none" w:pos="1277"/>
        </w:tabs>
        <w:spacing w:before="1" w:line="360" w:lineRule="auto"/>
        <w:ind w:right="4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tabs>
          <w:tab w:val="left" w:leader="none" w:pos="1169"/>
          <w:tab w:val="left" w:leader="none" w:pos="10622"/>
        </w:tabs>
        <w:ind w:left="1039" w:hanging="35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CLÁUSULA SEXTA - DO FUNDAMENTO E VINCULAÇÃO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169"/>
          <w:tab w:val="left" w:leader="none" w:pos="10516"/>
        </w:tabs>
        <w:ind w:left="10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169"/>
          <w:tab w:val="left" w:leader="none" w:pos="10516"/>
        </w:tabs>
        <w:ind w:left="1039" w:right="290.07874015748087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6.1. </w:t>
      </w:r>
      <w:r w:rsidDel="00000000" w:rsidR="00000000" w:rsidRPr="00000000">
        <w:rPr>
          <w:rtl w:val="0"/>
        </w:rPr>
        <w:t xml:space="preserve"> 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presente tem suporte na Lei nº 13.303/16 e suas alterações posteriores e subsidiariamente na Lei nº 14.133/21, estando vinculado ao edital da licitação que o originou e à proposta da CONTRATADA.</w:t>
      </w:r>
    </w:p>
    <w:p w:rsidR="00000000" w:rsidDel="00000000" w:rsidP="00000000" w:rsidRDefault="00000000" w:rsidRPr="00000000" w14:paraId="00000063">
      <w:pPr>
        <w:ind w:left="566.929133858267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169"/>
          <w:tab w:val="left" w:leader="none" w:pos="10516"/>
        </w:tabs>
        <w:ind w:left="1039" w:firstLine="0"/>
        <w:jc w:val="both"/>
        <w:rPr>
          <w:b w:val="1"/>
        </w:rPr>
        <w:sectPr>
          <w:headerReference r:id="rId7" w:type="default"/>
          <w:pgSz w:h="16840" w:w="11910" w:orient="portrait"/>
          <w:pgMar w:bottom="280" w:top="1880" w:left="283" w:right="711.6141732283467" w:header="463" w:footer="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6.2. </w:t>
      </w:r>
      <w:r w:rsidDel="00000000" w:rsidR="00000000" w:rsidRPr="00000000">
        <w:rPr>
          <w:rtl w:val="0"/>
        </w:rPr>
        <w:t xml:space="preserve">Nos casos omissos será aplicada a Lei nº 13.303/16, com suas alterações posteriores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1.9999999999999"/>
          <w:tab w:val="left" w:leader="none" w:pos="10772"/>
        </w:tabs>
        <w:spacing w:before="236" w:lineRule="auto"/>
        <w:ind w:left="1167" w:hanging="458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 xml:space="preserve">CLÁUSULA SÉTIMA -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DAS GARANTIAS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5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277" w:right="710.0787401574809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A empresa contratada deverá fornecer garantia equivalente a </w:t>
      </w:r>
      <w:r w:rsidDel="00000000" w:rsidR="00000000" w:rsidRPr="00000000">
        <w:rPr>
          <w:b w:val="1"/>
          <w:rtl w:val="0"/>
        </w:rPr>
        <w:t xml:space="preserve">5% (cinco por cento) do valor do contrato</w:t>
      </w:r>
      <w:r w:rsidDel="00000000" w:rsidR="00000000" w:rsidRPr="00000000">
        <w:rPr>
          <w:rtl w:val="0"/>
        </w:rPr>
        <w:t xml:space="preserve">, cabendo-lhe a opção por uma das seguintes modalidades, abaixo relacionadas: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  <w:t xml:space="preserve">I - caução em dinheiro ou em títulos da dívida pública, devendo estes ter sido emitidos sob a forma escritural, mediante registro em sistema centralizado de liquidação e de custódia autorizado pelo Banco Central do Brasil e avaliados pelos seus valores econômicos, conforme definido pelo Ministério da Fazenda;</w:t>
      </w:r>
    </w:p>
    <w:p w:rsidR="00000000" w:rsidDel="00000000" w:rsidP="00000000" w:rsidRDefault="00000000" w:rsidRPr="00000000" w14:paraId="0000006B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  <w:t xml:space="preserve">II - seguro-garantia;</w:t>
      </w:r>
    </w:p>
    <w:p w:rsidR="00000000" w:rsidDel="00000000" w:rsidP="00000000" w:rsidRDefault="00000000" w:rsidRPr="00000000" w14:paraId="0000006D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  <w:t xml:space="preserve">III - fiança bancária.</w:t>
      </w:r>
    </w:p>
    <w:p w:rsidR="00000000" w:rsidDel="00000000" w:rsidP="00000000" w:rsidRDefault="00000000" w:rsidRPr="00000000" w14:paraId="0000006F">
      <w:pPr>
        <w:ind w:left="1277" w:right="710.07874015748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277" w:right="710.0787401574809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A devolução da caução, garantidora do Contrato, à contratada, será realizada após o término do contrato a ser firmado, desde que cumpridas todas as obrigações pela Contratada, mediante requerimento da interessada.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2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3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1167"/>
          <w:tab w:val="left" w:leader="none" w:pos="10772"/>
        </w:tabs>
        <w:ind w:left="992.1259842519685" w:hanging="345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CLÁUSULA OITAVA - DAS PENALIDADES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9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line="276" w:lineRule="auto"/>
        <w:ind w:left="1275.5905511811022" w:right="851.811023622048" w:hanging="570.5905511811022"/>
        <w:jc w:val="both"/>
        <w:rPr/>
      </w:pPr>
      <w:r w:rsidDel="00000000" w:rsidR="00000000" w:rsidRPr="00000000">
        <w:rPr>
          <w:rtl w:val="0"/>
        </w:rPr>
        <w:t xml:space="preserve">Se a CONTRATADA tornar-se inadimplente no cumprimento das obrigações dispostas no presente instrumento, ser-lhe-á aplicada penalidade, na forma disposta no Edital, que é de seu conhecimento, em valor equivalente a 20% (vinte por cento) do valor contratado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leader="none" w:pos="1038"/>
          <w:tab w:val="left" w:leader="none" w:pos="10772"/>
        </w:tabs>
        <w:spacing w:before="1" w:lineRule="auto"/>
        <w:ind w:left="1039" w:hanging="357"/>
        <w:rPr/>
      </w:pPr>
      <w:r w:rsidDel="00000000" w:rsidR="00000000" w:rsidRPr="00000000">
        <w:rPr>
          <w:b w:val="1"/>
          <w:shd w:fill="d4e1ba" w:val="clear"/>
          <w:rtl w:val="0"/>
        </w:rPr>
        <w:t xml:space="preserve">CLÁUSULA NONA –  DA RESCISÃO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line="276" w:lineRule="auto"/>
        <w:ind w:left="1277" w:right="568.3464566929138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O contrato poderá ser extinto, caso ocorra qualquer das hipóteses previstas nos arts. 137 e 138 da Lei 14.133/21, reconhecidos os direitos da Administração, nos termos do art. 137 da referida Lei.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line="276" w:lineRule="auto"/>
        <w:ind w:left="1277" w:right="568.3464566929138" w:hanging="576.0000000000001"/>
        <w:jc w:val="both"/>
        <w:rPr/>
      </w:pPr>
      <w:r w:rsidDel="00000000" w:rsidR="00000000" w:rsidRPr="00000000">
        <w:rPr>
          <w:rtl w:val="0"/>
        </w:rPr>
        <w:t xml:space="preserve">Os casos de extinção contratual serão formalmente motivados nos autos do processo, assegurado o contraditório e a ampla defesa.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line="276" w:lineRule="auto"/>
        <w:ind w:left="1277" w:right="568.3464566929138" w:hanging="576.0000000000001"/>
        <w:jc w:val="both"/>
        <w:rPr/>
      </w:pPr>
      <w:r w:rsidDel="00000000" w:rsidR="00000000" w:rsidRPr="00000000">
        <w:rPr>
          <w:rtl w:val="0"/>
        </w:rPr>
        <w:t xml:space="preserve">A inexecução total ou parcial do contrato enseja a sua rescisão, com as consequências contratuais e as previstas em lei ou regulamento.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0772"/>
        </w:tabs>
        <w:spacing w:before="1" w:lineRule="auto"/>
        <w:ind w:left="1037" w:hanging="356.0000000000001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DÉCIMA – </w:t>
      </w:r>
      <w:r w:rsidDel="00000000" w:rsidR="00000000" w:rsidRPr="00000000">
        <w:rPr>
          <w:b w:val="1"/>
          <w:shd w:fill="d4e1ba" w:val="clear"/>
          <w:rtl w:val="0"/>
        </w:rPr>
        <w:t xml:space="preserve">DAS CONDIÇÕES DE HABILITAÇÃO</w:t>
      </w:r>
      <w:r w:rsidDel="00000000" w:rsidR="00000000" w:rsidRPr="00000000">
        <w:rPr>
          <w:b w:val="1"/>
          <w:color w:val="00000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line="276" w:lineRule="auto"/>
        <w:ind w:left="1277" w:right="568.3464566929138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CONTRATADA obriga-se, durante o prazo de vigência do presente, a manter todas as condições de habilitação e qualificação exigidas no processo licitatório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8"/>
          <w:tab w:val="left" w:leader="none" w:pos="1277"/>
        </w:tabs>
        <w:spacing w:before="1" w:line="360" w:lineRule="auto"/>
        <w:ind w:left="1277" w:right="41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0772"/>
        </w:tabs>
        <w:spacing w:before="1" w:lineRule="auto"/>
        <w:ind w:left="1037" w:hanging="356.000000000000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hd w:fill="d4e1ba" w:val="clear"/>
          <w:rtl w:val="0"/>
        </w:rPr>
        <w:t xml:space="preserve">CLÁUSULA DÉCIMA PRIMEIRA – DA </w:t>
      </w:r>
      <w:r w:rsidDel="00000000" w:rsidR="00000000" w:rsidRPr="00000000">
        <w:rPr>
          <w:b w:val="1"/>
          <w:shd w:fill="d4e1ba" w:val="clear"/>
          <w:rtl w:val="0"/>
        </w:rPr>
        <w:t xml:space="preserve">FISCALIZAÇÃO</w:t>
      </w:r>
      <w:r w:rsidDel="00000000" w:rsidR="00000000" w:rsidRPr="00000000">
        <w:rPr>
          <w:b w:val="1"/>
          <w:color w:val="00000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ind w:left="1277" w:hanging="576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A CONTRATANTE fiscalizará a execução do presente instrumento.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2"/>
        </w:tabs>
        <w:spacing w:before="196" w:lineRule="auto"/>
        <w:ind w:left="1133.8582677165355" w:hanging="42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 xml:space="preserve">CLÁUSULA DÉCIMA SEGUNDA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DAS OBRIGAÇÕES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12.1- São obrigações da Contratante:</w:t>
      </w:r>
    </w:p>
    <w:p w:rsidR="00000000" w:rsidDel="00000000" w:rsidP="00000000" w:rsidRDefault="00000000" w:rsidRPr="00000000" w14:paraId="0000008A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12.1.2-Receber o objeto no prazo e condições estabelecidas no Edital e seus anexos;</w:t>
      </w:r>
    </w:p>
    <w:p w:rsidR="00000000" w:rsidDel="00000000" w:rsidP="00000000" w:rsidRDefault="00000000" w:rsidRPr="00000000" w14:paraId="0000008B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12.1.3- Verificar minuciosamente, no prazo fixado, a conformidade dos bens recebidos com as especificações constantes do Edital e da proposta, para fins de aceitação e recebimento;</w:t>
      </w:r>
    </w:p>
    <w:p w:rsidR="00000000" w:rsidDel="00000000" w:rsidP="00000000" w:rsidRDefault="00000000" w:rsidRPr="00000000" w14:paraId="0000008C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Comunicar à Contratada, por escrito, sobre imperfeições, falhas ou irregularidades verificadas no objeto fornecido, para que seja substituído;</w:t>
      </w:r>
    </w:p>
    <w:p w:rsidR="00000000" w:rsidDel="00000000" w:rsidP="00000000" w:rsidRDefault="00000000" w:rsidRPr="00000000" w14:paraId="0000008D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12.1.5 -Acompanhar e fiscalizar o cumprimento das obrigações da Contratada, através de comissão/servidor especialmente designado;</w:t>
      </w:r>
    </w:p>
    <w:p w:rsidR="00000000" w:rsidDel="00000000" w:rsidP="00000000" w:rsidRDefault="00000000" w:rsidRPr="00000000" w14:paraId="0000008E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12.1.6-Efetuar o pagamento à Contratada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 valor correspondente ao fornecimento do objeto, no prazo e forma estabelecidos no Edital e seus anexos;</w:t>
      </w:r>
    </w:p>
    <w:p w:rsidR="00000000" w:rsidDel="00000000" w:rsidP="00000000" w:rsidRDefault="00000000" w:rsidRPr="00000000" w14:paraId="0000008F">
      <w:pPr>
        <w:spacing w:after="120" w:before="120" w:line="276" w:lineRule="auto"/>
        <w:ind w:left="708.6614173228347" w:right="568.3464566929138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12.1.7</w:t>
      </w:r>
      <w:r w:rsidDel="00000000" w:rsidR="00000000" w:rsidRPr="00000000">
        <w:rPr>
          <w:b w:val="1"/>
          <w:rtl w:val="0"/>
        </w:rPr>
        <w:t xml:space="preserve">- 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:rsidR="00000000" w:rsidDel="00000000" w:rsidP="00000000" w:rsidRDefault="00000000" w:rsidRPr="00000000" w14:paraId="00000090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12.1.8- Obriga-se o CONTRATANTE à publicação do extrato do contrato no Diário Oficial, conforme exigência do § 2º, do art. 51 da Lei 13.303/16.</w:t>
      </w:r>
    </w:p>
    <w:p w:rsidR="00000000" w:rsidDel="00000000" w:rsidP="00000000" w:rsidRDefault="00000000" w:rsidRPr="00000000" w14:paraId="00000091">
      <w:pPr>
        <w:spacing w:after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   12.2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São obrigações da Contratada:</w:t>
      </w:r>
    </w:p>
    <w:p w:rsidR="00000000" w:rsidDel="00000000" w:rsidP="00000000" w:rsidRDefault="00000000" w:rsidRPr="00000000" w14:paraId="00000092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12.2.1 -A Contratada deve cumprir todas as obrigações constantes no Edital, seus anexos e sua proposta, assumindo como exclusivamente seus os riscos e as despesas decorrentes da boa e perfeita execução do objeto e, ainda:</w:t>
      </w:r>
    </w:p>
    <w:p w:rsidR="00000000" w:rsidDel="00000000" w:rsidP="00000000" w:rsidRDefault="00000000" w:rsidRPr="00000000" w14:paraId="00000093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12.2.2-Efetuar a entrega do objeto em perfeitas condições, conforme especificações, prazo e local constantes no Edital e seus anexos, acompanhado da respectiva DANFE (Documento Auxiliar da Nota Fiscal Eletrônica)</w:t>
      </w:r>
      <w:r w:rsidDel="00000000" w:rsidR="00000000" w:rsidRPr="00000000">
        <w:rPr>
          <w:i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12.2.3-Responsabilizar-se pelos vícios e danos decorrentes do objeto, de acordo com os artigos 12, 13 e 17 a 27, do Código de Defesa do Consumidor (Lei nº 8.078, de 1990);</w:t>
      </w:r>
    </w:p>
    <w:p w:rsidR="00000000" w:rsidDel="00000000" w:rsidP="00000000" w:rsidRDefault="00000000" w:rsidRPr="00000000" w14:paraId="00000095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12.2.4-Substituir, reparar ou corrigir, às suas expensas, no prazo fixado neste Termo de Referência, o objeto com avarias ou defeitos;</w:t>
      </w:r>
    </w:p>
    <w:p w:rsidR="00000000" w:rsidDel="00000000" w:rsidP="00000000" w:rsidRDefault="00000000" w:rsidRPr="00000000" w14:paraId="00000096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12.2.5 -Comunicar à Contratante, no prazo máximo de 24 (vinte e quatro) horas que antecede a data da entrega, os motivos que impossibilitem o cumprimento do prazo previsto, com a devida comprovação;</w:t>
      </w:r>
    </w:p>
    <w:p w:rsidR="00000000" w:rsidDel="00000000" w:rsidP="00000000" w:rsidRDefault="00000000" w:rsidRPr="00000000" w14:paraId="00000097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12.2.6-Manter, durante toda a execução do contrato, em compatibilidade com as obrigações assumidas, todas as condições de habilitação e qualificação exigidas na licitação;</w:t>
      </w:r>
    </w:p>
    <w:p w:rsidR="00000000" w:rsidDel="00000000" w:rsidP="00000000" w:rsidRDefault="00000000" w:rsidRPr="00000000" w14:paraId="00000098">
      <w:pPr>
        <w:spacing w:after="120" w:before="120" w:line="276" w:lineRule="auto"/>
        <w:ind w:left="708.6614173228347" w:right="568.3464566929138" w:firstLine="0"/>
        <w:jc w:val="both"/>
        <w:rPr/>
      </w:pPr>
      <w:r w:rsidDel="00000000" w:rsidR="00000000" w:rsidRPr="00000000">
        <w:rPr>
          <w:rtl w:val="0"/>
        </w:rPr>
        <w:t xml:space="preserve">12.2.7-Indicar preposto para representá-la durante a execução do contrato.</w:t>
      </w:r>
    </w:p>
    <w:p w:rsidR="00000000" w:rsidDel="00000000" w:rsidP="00000000" w:rsidRDefault="00000000" w:rsidRPr="00000000" w14:paraId="00000099">
      <w:pPr>
        <w:spacing w:after="120" w:before="120"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7"/>
          <w:tab w:val="left" w:leader="none" w:pos="10772"/>
        </w:tabs>
        <w:spacing w:before="235" w:lineRule="auto"/>
        <w:ind w:left="1133.8582677165355" w:hanging="345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 xml:space="preserve">CLÁUSULA DÉCIMA TERCEIRA – DOS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shd w:fill="d4e1ba" w:val="clear"/>
          <w:rtl w:val="0"/>
        </w:rPr>
        <w:t xml:space="preserve">ENCARGOS SOCIAIS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7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ind w:left="1277" w:hanging="576.0000000000001"/>
        <w:rPr/>
      </w:pPr>
      <w:r w:rsidDel="00000000" w:rsidR="00000000" w:rsidRPr="00000000">
        <w:rPr>
          <w:rtl w:val="0"/>
        </w:rPr>
        <w:t xml:space="preserve">Todos os encargos sociais, tributários e trabalhistas são de responsabilidade da CONTRATADA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2"/>
          <w:tab w:val="left" w:leader="none" w:pos="10772"/>
        </w:tabs>
        <w:spacing w:before="235" w:lineRule="auto"/>
        <w:ind w:left="1172" w:hanging="351.0000000000001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d4e1ba" w:val="clear"/>
          <w:rtl w:val="0"/>
        </w:rPr>
        <w:t xml:space="preserve">CLÁUSULA DÉCIMA QUARTA – ALTERAÇÕES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" w:line="276" w:lineRule="auto"/>
        <w:ind w:right="568.3464566929138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spacing w:line="276" w:lineRule="auto"/>
        <w:ind w:left="1277" w:right="568.3464566929138" w:hanging="576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Fica eleito o foro da Comarca de Paracambi para dirimir as questões oriundas do presente, com renúncia expressa a qualquer outro por mais privilegiado que seja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1277" w:right="568.3464566929138" w:firstLine="0"/>
        <w:jc w:val="both"/>
        <w:rPr/>
      </w:pPr>
      <w:r w:rsidDel="00000000" w:rsidR="00000000" w:rsidRPr="00000000">
        <w:rPr>
          <w:rtl w:val="0"/>
        </w:rPr>
        <w:t xml:space="preserve">E por estarem assim justos e contratados, assinam o presente instrumento em 03 (três) vias de igual teor e forma, na presença das testemunhas abaixo qualificadas.</w:t>
      </w:r>
    </w:p>
    <w:p w:rsidR="00000000" w:rsidDel="00000000" w:rsidP="00000000" w:rsidRDefault="00000000" w:rsidRPr="00000000" w14:paraId="000000A1">
      <w:pPr>
        <w:spacing w:line="276" w:lineRule="auto"/>
        <w:ind w:left="1277" w:right="568.346456692913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5"/>
        </w:tabs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1818"/>
          <w:tab w:val="left" w:leader="none" w:pos="3024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Paracambi, 26 de agosto de 2025.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5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VICTOR DIAS MAIA SOARES</w:t>
      </w:r>
    </w:p>
    <w:p w:rsidR="00000000" w:rsidDel="00000000" w:rsidP="00000000" w:rsidRDefault="00000000" w:rsidRPr="00000000" w14:paraId="000000A8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Diretor Presidente</w:t>
      </w:r>
    </w:p>
    <w:p w:rsidR="00000000" w:rsidDel="00000000" w:rsidP="00000000" w:rsidRDefault="00000000" w:rsidRPr="00000000" w14:paraId="000000A9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COMDEP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27" w:lineRule="auto"/>
        <w:ind w:right="23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792"/>
        </w:tabs>
        <w:spacing w:before="135" w:line="240" w:lineRule="auto"/>
        <w:ind w:left="0" w:right="558" w:firstLine="0"/>
        <w:jc w:val="center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             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2368550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8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82045" y="3779365"/>
                          <a:ext cx="2327910" cy="1270"/>
                        </a:xfrm>
                        <a:custGeom>
                          <a:rect b="b" l="l" r="r" t="t"/>
                          <a:pathLst>
                            <a:path extrusionOk="0" h="120000" w="2327910">
                              <a:moveTo>
                                <a:pt x="0" y="0"/>
                              </a:moveTo>
                              <a:lnTo>
                                <a:pt x="232754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2368550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8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tabs>
          <w:tab w:val="left" w:leader="none" w:pos="5792"/>
        </w:tabs>
        <w:spacing w:before="135" w:line="240" w:lineRule="auto"/>
        <w:ind w:left="709" w:right="55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WELLINGTON MELO ALVES</w:t>
      </w:r>
    </w:p>
    <w:p w:rsidR="00000000" w:rsidDel="00000000" w:rsidP="00000000" w:rsidRDefault="00000000" w:rsidRPr="00000000" w14:paraId="000000AE">
      <w:pPr>
        <w:tabs>
          <w:tab w:val="left" w:leader="none" w:pos="5792"/>
        </w:tabs>
        <w:spacing w:before="135" w:line="240" w:lineRule="auto"/>
        <w:ind w:left="709" w:right="558" w:firstLine="0"/>
        <w:jc w:val="center"/>
        <w:rPr/>
      </w:pPr>
      <w:r w:rsidDel="00000000" w:rsidR="00000000" w:rsidRPr="00000000">
        <w:rPr>
          <w:rtl w:val="0"/>
        </w:rPr>
        <w:t xml:space="preserve">Representante legal </w:t>
      </w:r>
    </w:p>
    <w:p w:rsidR="00000000" w:rsidDel="00000000" w:rsidP="00000000" w:rsidRDefault="00000000" w:rsidRPr="00000000" w14:paraId="000000AF">
      <w:pPr>
        <w:tabs>
          <w:tab w:val="left" w:leader="none" w:pos="5792"/>
        </w:tabs>
        <w:spacing w:before="135" w:line="240" w:lineRule="auto"/>
        <w:ind w:left="709" w:right="558" w:firstLine="0"/>
        <w:jc w:val="center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WTE ENGENHARIA LTDA    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880" w:left="283" w:right="283" w:header="46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677950" cy="1501356"/>
          <wp:effectExtent b="0" l="0" r="0" t="0"/>
          <wp:docPr id="18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7950" cy="150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39" w:hanging="357"/>
      </w:pPr>
      <w:rPr>
        <w:rFonts w:ascii="Arial" w:cs="Arial" w:eastAsia="Arial" w:hAnsi="Arial"/>
        <w:b w:val="1"/>
        <w:i w:val="0"/>
        <w:sz w:val="20"/>
        <w:szCs w:val="20"/>
        <w:shd w:fill="d4e1ba" w:val="clear"/>
      </w:rPr>
    </w:lvl>
    <w:lvl w:ilvl="1">
      <w:start w:val="1"/>
      <w:numFmt w:val="decimal"/>
      <w:lvlText w:val="%1.%2."/>
      <w:lvlJc w:val="left"/>
      <w:pPr>
        <w:ind w:left="1277" w:hanging="576"/>
      </w:pPr>
      <w:rPr/>
    </w:lvl>
    <w:lvl w:ilvl="2">
      <w:start w:val="1"/>
      <w:numFmt w:val="decimal"/>
      <w:lvlText w:val="%1.%2.%3."/>
      <w:lvlJc w:val="left"/>
      <w:pPr>
        <w:ind w:left="1561" w:hanging="852.3385826771653"/>
      </w:pPr>
      <w:rPr>
        <w:rFonts w:ascii="Arial" w:cs="Arial" w:eastAsia="Arial" w:hAnsi="Arial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03" w:hanging="575"/>
      </w:pPr>
      <w:rPr>
        <w:rFonts w:ascii="Arial" w:cs="Arial" w:eastAsia="Arial" w:hAnsi="Arial"/>
        <w:b w:val="0"/>
        <w:i w:val="0"/>
        <w:sz w:val="20"/>
        <w:szCs w:val="20"/>
      </w:rPr>
    </w:lvl>
    <w:lvl w:ilvl="4">
      <w:start w:val="0"/>
      <w:numFmt w:val="bullet"/>
      <w:lvlText w:val="•"/>
      <w:lvlJc w:val="left"/>
      <w:pPr>
        <w:ind w:left="3077" w:hanging="576"/>
      </w:pPr>
      <w:rPr/>
    </w:lvl>
    <w:lvl w:ilvl="5">
      <w:start w:val="0"/>
      <w:numFmt w:val="bullet"/>
      <w:lvlText w:val="•"/>
      <w:lvlJc w:val="left"/>
      <w:pPr>
        <w:ind w:left="4454" w:hanging="576.0000000000005"/>
      </w:pPr>
      <w:rPr/>
    </w:lvl>
    <w:lvl w:ilvl="6">
      <w:start w:val="0"/>
      <w:numFmt w:val="bullet"/>
      <w:lvlText w:val="•"/>
      <w:lvlJc w:val="left"/>
      <w:pPr>
        <w:ind w:left="5831" w:hanging="576"/>
      </w:pPr>
      <w:rPr/>
    </w:lvl>
    <w:lvl w:ilvl="7">
      <w:start w:val="0"/>
      <w:numFmt w:val="bullet"/>
      <w:lvlText w:val="•"/>
      <w:lvlJc w:val="left"/>
      <w:pPr>
        <w:ind w:left="7208" w:hanging="576.0000000000018"/>
      </w:pPr>
      <w:rPr/>
    </w:lvl>
    <w:lvl w:ilvl="8">
      <w:start w:val="0"/>
      <w:numFmt w:val="bullet"/>
      <w:lvlText w:val="•"/>
      <w:lvlJc w:val="left"/>
      <w:pPr>
        <w:ind w:left="8585" w:hanging="57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8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3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Fontepargpadro"/>
    <w:uiPriority w:val="99"/>
    <w:unhideWhenUsed w:val="1"/>
    <w:rsid w:val="000120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12080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table" w:styleId="afa" w:customStyle="1">
    <w:basedOn w:val="TableNormal1"/>
    <w:tblPr>
      <w:tblStyleRowBandSize w:val="1"/>
      <w:tblStyleColBandSize w:val="1"/>
    </w:tblPr>
  </w:style>
  <w:style w:type="table" w:styleId="afb" w:customStyle="1">
    <w:basedOn w:val="TableNormal1"/>
    <w:tblPr>
      <w:tblStyleRowBandSize w:val="1"/>
      <w:tblStyleColBandSize w:val="1"/>
    </w:tblPr>
  </w:style>
  <w:style w:type="table" w:styleId="afc" w:customStyle="1">
    <w:basedOn w:val="TableNormal1"/>
    <w:tblPr>
      <w:tblStyleRowBandSize w:val="1"/>
      <w:tblStyleColBandSize w:val="1"/>
    </w:tblPr>
  </w:style>
  <w:style w:type="table" w:styleId="afd" w:customStyle="1">
    <w:basedOn w:val="TableNormal1"/>
    <w:tblPr>
      <w:tblStyleRowBandSize w:val="1"/>
      <w:tblStyleColBandSize w:val="1"/>
    </w:tblPr>
  </w:style>
  <w:style w:type="table" w:styleId="afe" w:customStyle="1">
    <w:basedOn w:val="TableNormal1"/>
    <w:tblPr>
      <w:tblStyleRowBandSize w:val="1"/>
      <w:tblStyleColBandSize w:val="1"/>
    </w:tblPr>
  </w:style>
  <w:style w:type="table" w:styleId="aff" w:customStyle="1">
    <w:basedOn w:val="TableNormal1"/>
    <w:tblPr>
      <w:tblStyleRowBandSize w:val="1"/>
      <w:tblStyleColBandSize w:val="1"/>
    </w:tblPr>
  </w:style>
  <w:style w:type="table" w:styleId="aff0" w:customStyle="1">
    <w:basedOn w:val="TableNormal1"/>
    <w:tblPr>
      <w:tblStyleRowBandSize w:val="1"/>
      <w:tblStyleColBandSize w:val="1"/>
    </w:tblPr>
  </w:style>
  <w:style w:type="table" w:styleId="aff1" w:customStyle="1">
    <w:basedOn w:val="TableNormal1"/>
    <w:tblPr>
      <w:tblStyleRowBandSize w:val="1"/>
      <w:tblStyleColBandSize w:val="1"/>
    </w:tblPr>
  </w:style>
  <w:style w:type="table" w:styleId="aff2" w:customStyle="1">
    <w:basedOn w:val="TableNormal1"/>
    <w:tblPr>
      <w:tblStyleRowBandSize w:val="1"/>
      <w:tblStyleColBandSize w:val="1"/>
    </w:tblPr>
  </w:style>
  <w:style w:type="table" w:styleId="aff3" w:customStyle="1">
    <w:basedOn w:val="TableNormal1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EB700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p0MiHlNAHqWFLHwP3Cq5MArIA==">CgMxLjA4AHIhMVJUUW9VcWZweWVmVmUxbm1OTE5vbHpneW40Q0FnYW1w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2025-06-17T14:14:00Z</dcterms:created>
  <dc:creator>motaveneubianca@outlook.com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LTSC</vt:lpwstr>
  </property>
</Properties>
</file>